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A5BD" w14:textId="77777777" w:rsidR="00490CF8" w:rsidRPr="008261C7" w:rsidRDefault="00DF3E29" w:rsidP="00DF3E29">
      <w:pPr>
        <w:jc w:val="center"/>
        <w:rPr>
          <w:b/>
        </w:rPr>
      </w:pPr>
      <w:r w:rsidRPr="008261C7">
        <w:rPr>
          <w:b/>
        </w:rPr>
        <w:t>University of Wisconsin Coagulation/Medication Guidelines</w:t>
      </w:r>
    </w:p>
    <w:p w14:paraId="06642479" w14:textId="77777777" w:rsidR="00DF3E29" w:rsidRPr="008261C7" w:rsidRDefault="00DF3E29" w:rsidP="00DF3E29">
      <w:pPr>
        <w:jc w:val="center"/>
        <w:rPr>
          <w:b/>
        </w:rPr>
      </w:pPr>
    </w:p>
    <w:p w14:paraId="4AD7DD25" w14:textId="77777777" w:rsidR="00DF3E29" w:rsidRPr="008261C7" w:rsidRDefault="00DF3E29" w:rsidP="00DF3E29">
      <w:r w:rsidRPr="008261C7">
        <w:t>The following guidelines are intended to represent the best practices based upon a review of the data available in the current medical literature when deciding upon the need for evaluating and subsequently correcting abnor</w:t>
      </w:r>
      <w:bookmarkStart w:id="0" w:name="_GoBack"/>
      <w:bookmarkEnd w:id="0"/>
      <w:r w:rsidRPr="008261C7">
        <w:t>mal coagulation parameters prior to interventional radiology procedures in the Abdominal Imaging Section.  These represent recommendations and can be modified at the discretion of the attending radiologist based upon the clinical information pertinent to any individual patient.  For the purposes of the guidelines, the procedures will be divided into 2 categories: Low Risk and Elevated Risk.  The recommendations within each category will be determined based upon the best evidence regarding risk of hemorrhagic complications for those procedures.</w:t>
      </w:r>
    </w:p>
    <w:p w14:paraId="564BAE34" w14:textId="77777777" w:rsidR="00DF3E29" w:rsidRPr="008261C7" w:rsidRDefault="00DF3E29" w:rsidP="00DF3E29"/>
    <w:p w14:paraId="3066F1F5" w14:textId="77777777" w:rsidR="00DF3E29" w:rsidRPr="008261C7" w:rsidRDefault="00DF3E29" w:rsidP="00DF3E29">
      <w:pPr>
        <w:rPr>
          <w:b/>
          <w:u w:val="single"/>
        </w:rPr>
      </w:pPr>
      <w:r w:rsidRPr="008261C7">
        <w:rPr>
          <w:b/>
          <w:u w:val="single"/>
        </w:rPr>
        <w:t>Procedural Risk Categories</w:t>
      </w:r>
    </w:p>
    <w:p w14:paraId="785D2183" w14:textId="77777777" w:rsidR="00DF3E29" w:rsidRPr="008261C7" w:rsidRDefault="00DF3E29" w:rsidP="00DF3E29">
      <w:pPr>
        <w:rPr>
          <w:b/>
          <w:u w:val="single"/>
        </w:rPr>
      </w:pPr>
    </w:p>
    <w:p w14:paraId="27DB92CE" w14:textId="77777777" w:rsidR="00DF3E29" w:rsidRPr="008261C7" w:rsidRDefault="00DF3E29" w:rsidP="00DF3E29">
      <w:pPr>
        <w:rPr>
          <w:b/>
        </w:rPr>
      </w:pPr>
      <w:r w:rsidRPr="008261C7">
        <w:rPr>
          <w:b/>
        </w:rPr>
        <w:t>Low risk:</w:t>
      </w:r>
    </w:p>
    <w:p w14:paraId="2D9BB830" w14:textId="77777777" w:rsidR="00DD66E1" w:rsidRDefault="00DD66E1" w:rsidP="00DF3E29">
      <w:r>
        <w:t>Paracentesis</w:t>
      </w:r>
    </w:p>
    <w:p w14:paraId="49F5CAA0" w14:textId="77777777" w:rsidR="00DD66E1" w:rsidRDefault="00DD66E1" w:rsidP="00DF3E29">
      <w:r>
        <w:t>T</w:t>
      </w:r>
      <w:r w:rsidR="00DF3E29" w:rsidRPr="008261C7">
        <w:t>horacentesis</w:t>
      </w:r>
    </w:p>
    <w:p w14:paraId="756B3703" w14:textId="77777777" w:rsidR="00DD66E1" w:rsidRDefault="00DF3E29" w:rsidP="00DF3E29">
      <w:r w:rsidRPr="008261C7">
        <w:t>FNA/core of non-solid organ deep or intraperitoneal structures</w:t>
      </w:r>
    </w:p>
    <w:p w14:paraId="2D2A5498" w14:textId="77777777" w:rsidR="00DD66E1" w:rsidRDefault="00DF3E29" w:rsidP="00DF3E29">
      <w:r w:rsidRPr="008261C7">
        <w:t>FNA/core of superficial structures (e.g. thyroid, lymph node, etc)</w:t>
      </w:r>
    </w:p>
    <w:p w14:paraId="4BFC1147" w14:textId="77777777" w:rsidR="00DF3E29" w:rsidRPr="008261C7" w:rsidRDefault="00DD66E1" w:rsidP="00DF3E29">
      <w:r>
        <w:t>Aspiration of fluid collection</w:t>
      </w:r>
    </w:p>
    <w:p w14:paraId="202FA444" w14:textId="77777777" w:rsidR="00DF3E29" w:rsidRPr="008261C7" w:rsidRDefault="00DF3E29" w:rsidP="00DF3E29">
      <w:pPr>
        <w:rPr>
          <w:b/>
        </w:rPr>
      </w:pPr>
    </w:p>
    <w:p w14:paraId="5EBD8584" w14:textId="77777777" w:rsidR="00DF3E29" w:rsidRPr="008261C7" w:rsidRDefault="00DF3E29" w:rsidP="00DF3E29">
      <w:pPr>
        <w:rPr>
          <w:b/>
        </w:rPr>
      </w:pPr>
      <w:r w:rsidRPr="008261C7">
        <w:rPr>
          <w:b/>
        </w:rPr>
        <w:t>Elevated risk:</w:t>
      </w:r>
    </w:p>
    <w:p w14:paraId="27B7F75D" w14:textId="77777777" w:rsidR="00DD66E1" w:rsidRDefault="00DF3E29" w:rsidP="00DF3E29">
      <w:r w:rsidRPr="008261C7">
        <w:t>FNA/core of visceral solid organ (targeted or random)</w:t>
      </w:r>
    </w:p>
    <w:p w14:paraId="57997F87" w14:textId="77777777" w:rsidR="00DD66E1" w:rsidRDefault="00DF3E29" w:rsidP="00DF3E29">
      <w:r w:rsidRPr="008261C7">
        <w:t>FNA/core of the lung</w:t>
      </w:r>
    </w:p>
    <w:p w14:paraId="36BE4898" w14:textId="77777777" w:rsidR="00DF3E29" w:rsidRPr="008261C7" w:rsidRDefault="00DF3E29" w:rsidP="00DF3E29">
      <w:r w:rsidRPr="008261C7">
        <w:t>Image-guided tumor ablation.</w:t>
      </w:r>
    </w:p>
    <w:p w14:paraId="3CF3ADEF" w14:textId="77777777" w:rsidR="00DF3E29" w:rsidRPr="008261C7" w:rsidRDefault="00DF3E29" w:rsidP="00DF3E29"/>
    <w:p w14:paraId="6B6484EF" w14:textId="77777777" w:rsidR="00DF3E29" w:rsidRPr="008261C7" w:rsidRDefault="00DF3E29" w:rsidP="00DF3E29">
      <w:pPr>
        <w:rPr>
          <w:b/>
          <w:u w:val="single"/>
        </w:rPr>
      </w:pPr>
      <w:r w:rsidRPr="008261C7">
        <w:rPr>
          <w:b/>
          <w:u w:val="single"/>
        </w:rPr>
        <w:t>Pre-procedural Lab Evaluation</w:t>
      </w:r>
    </w:p>
    <w:p w14:paraId="0A4CC03C" w14:textId="77777777" w:rsidR="00DF3E29" w:rsidRPr="008261C7" w:rsidRDefault="00DF3E29" w:rsidP="00DF3E29"/>
    <w:p w14:paraId="3D777791" w14:textId="77777777" w:rsidR="00DF3E29" w:rsidRPr="008261C7" w:rsidRDefault="00DF3E29" w:rsidP="00DF3E29">
      <w:r w:rsidRPr="008261C7">
        <w:t>All patients should be screened for history of unexplained bleeding disorders, anticoagulant medications and risk factors associated with bleeding such as DIC, renal failure, dialysis, etc.  These risk factors should be discussed with the attending physician prior to the procedure.</w:t>
      </w:r>
    </w:p>
    <w:p w14:paraId="2B32D13D" w14:textId="77777777" w:rsidR="00DF3E29" w:rsidRPr="008261C7" w:rsidRDefault="00DF3E29" w:rsidP="00DF3E29"/>
    <w:p w14:paraId="5791E9A6" w14:textId="77777777" w:rsidR="00DD66E1" w:rsidRDefault="00DF3E29" w:rsidP="00DD66E1">
      <w:pPr>
        <w:pStyle w:val="ListParagraph"/>
        <w:numPr>
          <w:ilvl w:val="0"/>
          <w:numId w:val="3"/>
        </w:numPr>
      </w:pPr>
      <w:r w:rsidRPr="008261C7">
        <w:t>No labs are required prior to low risk procedures</w:t>
      </w:r>
      <w:r w:rsidR="00DD66E1">
        <w:t xml:space="preserve"> </w:t>
      </w:r>
    </w:p>
    <w:p w14:paraId="13BD7301" w14:textId="77777777" w:rsidR="00DF3E29" w:rsidRPr="008261C7" w:rsidRDefault="00DD66E1" w:rsidP="00DD66E1">
      <w:pPr>
        <w:pStyle w:val="ListParagraph"/>
        <w:numPr>
          <w:ilvl w:val="1"/>
          <w:numId w:val="3"/>
        </w:numPr>
      </w:pPr>
      <w:r>
        <w:t>Exception if there are significantly abnormal lab values already documented in the medical record (INR &gt;3, platelets &lt; 25,000).  These patients may need labs prior to the procedure at the discretion of the attending radiologist</w:t>
      </w:r>
    </w:p>
    <w:p w14:paraId="65F19DD7" w14:textId="77777777" w:rsidR="00DF3E29" w:rsidRPr="008261C7" w:rsidRDefault="00DF3E29" w:rsidP="00DF3E29"/>
    <w:p w14:paraId="01412EF4" w14:textId="77777777" w:rsidR="00DF3E29" w:rsidRPr="008261C7" w:rsidRDefault="00DF3E29" w:rsidP="00DF3E29">
      <w:r w:rsidRPr="008261C7">
        <w:t>-  INR and platelets should be evaluated prior to elevated risk procedures as follows:</w:t>
      </w:r>
    </w:p>
    <w:p w14:paraId="3CB3050E" w14:textId="77777777" w:rsidR="00DF3E29" w:rsidRPr="008261C7" w:rsidRDefault="00DF3E29" w:rsidP="00DF3E29"/>
    <w:tbl>
      <w:tblPr>
        <w:tblStyle w:val="TableGrid"/>
        <w:tblW w:w="0" w:type="auto"/>
        <w:tblLook w:val="04A0" w:firstRow="1" w:lastRow="0" w:firstColumn="1" w:lastColumn="0" w:noHBand="0" w:noVBand="1"/>
      </w:tblPr>
      <w:tblGrid>
        <w:gridCol w:w="4309"/>
        <w:gridCol w:w="4321"/>
      </w:tblGrid>
      <w:tr w:rsidR="00D051BD" w:rsidRPr="008261C7" w14:paraId="4B0B1801" w14:textId="77777777" w:rsidTr="00D051BD">
        <w:tc>
          <w:tcPr>
            <w:tcW w:w="4428" w:type="dxa"/>
          </w:tcPr>
          <w:p w14:paraId="3AD5CFB1" w14:textId="77777777" w:rsidR="00D051BD" w:rsidRPr="008261C7" w:rsidRDefault="00D051BD" w:rsidP="00DF3E29"/>
        </w:tc>
        <w:tc>
          <w:tcPr>
            <w:tcW w:w="4428" w:type="dxa"/>
          </w:tcPr>
          <w:p w14:paraId="378D83EE" w14:textId="77777777" w:rsidR="00D051BD" w:rsidRPr="008261C7" w:rsidRDefault="00D051BD" w:rsidP="00DF3E29">
            <w:r w:rsidRPr="008261C7">
              <w:t>Critical coagulation value</w:t>
            </w:r>
          </w:p>
        </w:tc>
      </w:tr>
      <w:tr w:rsidR="00D051BD" w:rsidRPr="008261C7" w14:paraId="06122330" w14:textId="77777777" w:rsidTr="00D051BD">
        <w:tc>
          <w:tcPr>
            <w:tcW w:w="4428" w:type="dxa"/>
          </w:tcPr>
          <w:p w14:paraId="03A4B057" w14:textId="77777777" w:rsidR="00D051BD" w:rsidRPr="008261C7" w:rsidRDefault="00D051BD" w:rsidP="00DF3E29">
            <w:r w:rsidRPr="008261C7">
              <w:t>INR</w:t>
            </w:r>
          </w:p>
        </w:tc>
        <w:tc>
          <w:tcPr>
            <w:tcW w:w="4428" w:type="dxa"/>
          </w:tcPr>
          <w:p w14:paraId="600DA224" w14:textId="77777777" w:rsidR="00D051BD" w:rsidRPr="008261C7" w:rsidRDefault="00D051BD" w:rsidP="00DF3E29">
            <w:r w:rsidRPr="008261C7">
              <w:t>&lt;2.0</w:t>
            </w:r>
          </w:p>
        </w:tc>
      </w:tr>
      <w:tr w:rsidR="00D051BD" w:rsidRPr="008261C7" w14:paraId="69873BF8" w14:textId="77777777" w:rsidTr="00D051BD">
        <w:tc>
          <w:tcPr>
            <w:tcW w:w="4428" w:type="dxa"/>
          </w:tcPr>
          <w:p w14:paraId="00DC8F54" w14:textId="77777777" w:rsidR="00D051BD" w:rsidRPr="008261C7" w:rsidRDefault="00D051BD" w:rsidP="00DF3E29">
            <w:r w:rsidRPr="008261C7">
              <w:t>Platelets</w:t>
            </w:r>
          </w:p>
        </w:tc>
        <w:tc>
          <w:tcPr>
            <w:tcW w:w="4428" w:type="dxa"/>
          </w:tcPr>
          <w:p w14:paraId="28734768" w14:textId="77777777" w:rsidR="00D051BD" w:rsidRPr="008261C7" w:rsidRDefault="00D051BD" w:rsidP="00DF3E29">
            <w:r w:rsidRPr="008261C7">
              <w:t>&gt;25,000</w:t>
            </w:r>
          </w:p>
        </w:tc>
      </w:tr>
    </w:tbl>
    <w:p w14:paraId="0414809C" w14:textId="77777777" w:rsidR="00DF3E29" w:rsidRPr="008261C7" w:rsidRDefault="00D051BD" w:rsidP="00DF3E29">
      <w:r w:rsidRPr="008261C7">
        <w:lastRenderedPageBreak/>
        <w:t>Inpatients: INR and platelet count within 1 week or day of procedure if on warfarin.</w:t>
      </w:r>
    </w:p>
    <w:p w14:paraId="2196A4DC" w14:textId="77777777" w:rsidR="00D051BD" w:rsidRDefault="00D051BD" w:rsidP="00DF3E29">
      <w:r w:rsidRPr="008261C7">
        <w:t>Outpatients: INR and platelet count within 6 months if previously normal, or within 30 days if previously abnormal.  INR day of procedure if on warfarin.</w:t>
      </w:r>
    </w:p>
    <w:p w14:paraId="2B3F4AA3" w14:textId="77777777" w:rsidR="003328AB" w:rsidRDefault="003328AB" w:rsidP="00DF3E29"/>
    <w:p w14:paraId="361F2A54" w14:textId="77777777" w:rsidR="003328AB" w:rsidRPr="008261C7" w:rsidRDefault="003328AB" w:rsidP="00DF3E29">
      <w:r>
        <w:t>Note that anemia, while not a risk factor for hemorrhagic complications, can be problematic if such a complication occurs.  Therefore, should consider evaluating a Hemoglobin in patients with a history of anemia prior to high risk procedures.  This is purely at the discretion of the attending radiologist.</w:t>
      </w:r>
    </w:p>
    <w:p w14:paraId="64A7AD8F" w14:textId="77777777" w:rsidR="00D051BD" w:rsidRPr="008261C7" w:rsidRDefault="00D051BD" w:rsidP="00DF3E29"/>
    <w:p w14:paraId="0FBA2703" w14:textId="77777777" w:rsidR="00D051BD" w:rsidRPr="008261C7" w:rsidRDefault="00D051BD" w:rsidP="008261C7">
      <w:pPr>
        <w:widowControl w:val="0"/>
        <w:autoSpaceDE w:val="0"/>
        <w:autoSpaceDN w:val="0"/>
        <w:adjustRightInd w:val="0"/>
      </w:pPr>
      <w:r w:rsidRPr="008261C7">
        <w:t>If coagulation values fall outside of these parameters, then should consider correction prior to the procedure.</w:t>
      </w:r>
      <w:r w:rsidR="008261C7" w:rsidRPr="008261C7">
        <w:t xml:space="preserve">  Note that transfusion of platelets and plasma do have their own risks, the most common of which is transfusion-related acute lung injury, which can occur in up to 8% of patient, with an associated mortality of 5-10%.  Thus, any correction of abnormal coagulation values should be weighed against this risk.</w:t>
      </w:r>
      <w:r w:rsidR="00A072BE" w:rsidRPr="008261C7">
        <w:rPr>
          <w:rFonts w:cs="Times New Roman"/>
        </w:rPr>
        <w:t xml:space="preserve"> </w:t>
      </w:r>
    </w:p>
    <w:p w14:paraId="73774C51" w14:textId="77777777" w:rsidR="00D051BD" w:rsidRPr="008261C7" w:rsidRDefault="00D051BD" w:rsidP="00DF3E29"/>
    <w:p w14:paraId="42B7C267" w14:textId="77777777" w:rsidR="00D051BD" w:rsidRPr="008261C7" w:rsidRDefault="00D051BD" w:rsidP="00DF3E29">
      <w:pPr>
        <w:rPr>
          <w:b/>
          <w:u w:val="single"/>
        </w:rPr>
      </w:pPr>
      <w:r w:rsidRPr="008261C7">
        <w:rPr>
          <w:b/>
          <w:u w:val="single"/>
        </w:rPr>
        <w:t>Medication Management</w:t>
      </w:r>
    </w:p>
    <w:p w14:paraId="1EA9B061" w14:textId="77777777" w:rsidR="008213D8" w:rsidRPr="008261C7" w:rsidRDefault="008213D8" w:rsidP="00DF3E29">
      <w:pPr>
        <w:rPr>
          <w:b/>
          <w:u w:val="single"/>
        </w:rPr>
      </w:pPr>
    </w:p>
    <w:p w14:paraId="6EE02D3C" w14:textId="77777777" w:rsidR="00A072BE" w:rsidRPr="008261C7" w:rsidRDefault="00A072BE" w:rsidP="00DF3E29">
      <w:r w:rsidRPr="008261C7">
        <w:t>The below recommendations are intended to cover the majority of medications.  Note that they pertain only to elective procedures as urgent/emergent procedures may require either a shorter hold, or not discontinuing the medication.  Note that discontinuing anticoagulation after coronary/cardiac stent placement can be associated with a significant risk of cardiopulmonary event and even death.  Therefore, those patients should be managed in consultation with the managing physician and if the procedure is deemed necessary, those patients should either continue their anticoagulation, or be bridged to the procedure.</w:t>
      </w:r>
      <w:r w:rsidR="008261C7" w:rsidRPr="008261C7">
        <w:t xml:space="preserve">  Minimum safe window prior to holding these medications in these patients is 2-4 weeks after angioplasty, 1 month for a bare metal stent, and 12 months for a drug eluting stent.</w:t>
      </w:r>
    </w:p>
    <w:p w14:paraId="29345940" w14:textId="77777777" w:rsidR="00A072BE" w:rsidRPr="008261C7" w:rsidRDefault="00A072BE" w:rsidP="00DF3E29"/>
    <w:tbl>
      <w:tblPr>
        <w:tblStyle w:val="TableGrid"/>
        <w:tblW w:w="0" w:type="auto"/>
        <w:tblLook w:val="04A0" w:firstRow="1" w:lastRow="0" w:firstColumn="1" w:lastColumn="0" w:noHBand="0" w:noVBand="1"/>
      </w:tblPr>
      <w:tblGrid>
        <w:gridCol w:w="2952"/>
        <w:gridCol w:w="2952"/>
        <w:gridCol w:w="1476"/>
        <w:gridCol w:w="1476"/>
      </w:tblGrid>
      <w:tr w:rsidR="0047071A" w:rsidRPr="008261C7" w14:paraId="7D35E2F8" w14:textId="77777777" w:rsidTr="0047071A">
        <w:tc>
          <w:tcPr>
            <w:tcW w:w="2952" w:type="dxa"/>
          </w:tcPr>
          <w:p w14:paraId="5850A8DE" w14:textId="77777777" w:rsidR="0047071A" w:rsidRPr="008261C7" w:rsidRDefault="0047071A" w:rsidP="00DF3E29">
            <w:r w:rsidRPr="008261C7">
              <w:t>Medication</w:t>
            </w:r>
          </w:p>
        </w:tc>
        <w:tc>
          <w:tcPr>
            <w:tcW w:w="2952" w:type="dxa"/>
          </w:tcPr>
          <w:p w14:paraId="296B2477" w14:textId="77777777" w:rsidR="0047071A" w:rsidRPr="008261C7" w:rsidRDefault="0047071A" w:rsidP="00DF3E29">
            <w:r w:rsidRPr="008261C7">
              <w:t>Low risk hold</w:t>
            </w:r>
          </w:p>
        </w:tc>
        <w:tc>
          <w:tcPr>
            <w:tcW w:w="2952" w:type="dxa"/>
            <w:gridSpan w:val="2"/>
          </w:tcPr>
          <w:p w14:paraId="0E62BE94" w14:textId="77777777" w:rsidR="0047071A" w:rsidRPr="008261C7" w:rsidRDefault="0047071A" w:rsidP="00DF3E29">
            <w:r w:rsidRPr="008261C7">
              <w:t>Elevated risk hold</w:t>
            </w:r>
          </w:p>
        </w:tc>
      </w:tr>
      <w:tr w:rsidR="0047071A" w:rsidRPr="008261C7" w14:paraId="5496802C" w14:textId="77777777" w:rsidTr="0047071A">
        <w:tc>
          <w:tcPr>
            <w:tcW w:w="2952" w:type="dxa"/>
          </w:tcPr>
          <w:p w14:paraId="17512E92" w14:textId="77777777" w:rsidR="0047071A" w:rsidRPr="008261C7" w:rsidRDefault="0047071A" w:rsidP="00DF3E29">
            <w:r w:rsidRPr="008261C7">
              <w:t>Aspirin</w:t>
            </w:r>
          </w:p>
        </w:tc>
        <w:tc>
          <w:tcPr>
            <w:tcW w:w="2952" w:type="dxa"/>
          </w:tcPr>
          <w:p w14:paraId="20744EDD" w14:textId="77777777" w:rsidR="0047071A" w:rsidRPr="008261C7" w:rsidRDefault="0047071A" w:rsidP="00DF3E29">
            <w:r w:rsidRPr="008261C7">
              <w:t>No</w:t>
            </w:r>
          </w:p>
        </w:tc>
        <w:tc>
          <w:tcPr>
            <w:tcW w:w="2952" w:type="dxa"/>
            <w:gridSpan w:val="2"/>
          </w:tcPr>
          <w:p w14:paraId="29023420" w14:textId="77777777" w:rsidR="0047071A" w:rsidRPr="008261C7" w:rsidRDefault="0047071A" w:rsidP="00DF3E29">
            <w:r w:rsidRPr="008261C7">
              <w:t>3 days (less if urgent)</w:t>
            </w:r>
          </w:p>
        </w:tc>
      </w:tr>
      <w:tr w:rsidR="0047071A" w:rsidRPr="008261C7" w14:paraId="7F2410D4" w14:textId="77777777" w:rsidTr="0047071A">
        <w:tc>
          <w:tcPr>
            <w:tcW w:w="2952" w:type="dxa"/>
          </w:tcPr>
          <w:p w14:paraId="2CBFFBF1" w14:textId="77777777" w:rsidR="0038716D" w:rsidRPr="008261C7" w:rsidRDefault="0038716D" w:rsidP="00DF3E29">
            <w:r w:rsidRPr="008261C7">
              <w:rPr>
                <w:b/>
              </w:rPr>
              <w:t>ADP Inhibitors</w:t>
            </w:r>
            <w:r w:rsidRPr="008261C7">
              <w:t>:</w:t>
            </w:r>
          </w:p>
          <w:p w14:paraId="5C310BDD" w14:textId="77777777" w:rsidR="0047071A" w:rsidRPr="008261C7" w:rsidRDefault="0091046F" w:rsidP="00DF3E29">
            <w:r w:rsidRPr="008261C7">
              <w:t>Plavix (clopidogrel)</w:t>
            </w:r>
          </w:p>
          <w:p w14:paraId="60A109C8" w14:textId="77777777" w:rsidR="0091046F" w:rsidRPr="008261C7" w:rsidRDefault="0091046F" w:rsidP="00DF3E29">
            <w:r w:rsidRPr="008261C7">
              <w:t>Effient (prasugrel)</w:t>
            </w:r>
          </w:p>
          <w:p w14:paraId="1D011819" w14:textId="77777777" w:rsidR="0091046F" w:rsidRPr="008261C7" w:rsidRDefault="008213D8" w:rsidP="00DF3E29">
            <w:r w:rsidRPr="008261C7">
              <w:t>Brilinta (ticagrelor)</w:t>
            </w:r>
          </w:p>
        </w:tc>
        <w:tc>
          <w:tcPr>
            <w:tcW w:w="2952" w:type="dxa"/>
          </w:tcPr>
          <w:p w14:paraId="4E0633C6" w14:textId="77777777" w:rsidR="0038716D" w:rsidRPr="008261C7" w:rsidRDefault="0038716D" w:rsidP="00DF3E29"/>
          <w:p w14:paraId="5EFD11B6" w14:textId="77777777" w:rsidR="0047071A" w:rsidRPr="008261C7" w:rsidRDefault="0091046F" w:rsidP="00DF3E29">
            <w:r w:rsidRPr="008261C7">
              <w:t>5 days (less if urgent)</w:t>
            </w:r>
          </w:p>
        </w:tc>
        <w:tc>
          <w:tcPr>
            <w:tcW w:w="2952" w:type="dxa"/>
            <w:gridSpan w:val="2"/>
          </w:tcPr>
          <w:p w14:paraId="2D9D6AB4" w14:textId="77777777" w:rsidR="0038716D" w:rsidRPr="008261C7" w:rsidRDefault="0038716D" w:rsidP="00DF3E29"/>
          <w:p w14:paraId="0B135156" w14:textId="77777777" w:rsidR="0047071A" w:rsidRPr="008261C7" w:rsidRDefault="0091046F" w:rsidP="00DF3E29">
            <w:r w:rsidRPr="008261C7">
              <w:t>5 days (less if urgent)</w:t>
            </w:r>
          </w:p>
        </w:tc>
      </w:tr>
      <w:tr w:rsidR="0047071A" w:rsidRPr="008261C7" w14:paraId="2D9B13F4" w14:textId="77777777" w:rsidTr="0047071A">
        <w:tc>
          <w:tcPr>
            <w:tcW w:w="2952" w:type="dxa"/>
          </w:tcPr>
          <w:p w14:paraId="25A684E3" w14:textId="77777777" w:rsidR="0091046F" w:rsidRPr="008261C7" w:rsidRDefault="0091046F" w:rsidP="0091046F">
            <w:pPr>
              <w:pStyle w:val="Default"/>
              <w:rPr>
                <w:rFonts w:asciiTheme="minorHAnsi" w:hAnsiTheme="minorHAnsi"/>
              </w:rPr>
            </w:pPr>
            <w:r w:rsidRPr="008261C7">
              <w:rPr>
                <w:rFonts w:asciiTheme="minorHAnsi" w:hAnsiTheme="minorHAnsi"/>
                <w:b/>
              </w:rPr>
              <w:t>Phosphodiesterase inhibitors</w:t>
            </w:r>
            <w:r w:rsidR="0038716D" w:rsidRPr="008261C7">
              <w:rPr>
                <w:rFonts w:asciiTheme="minorHAnsi" w:hAnsiTheme="minorHAnsi"/>
              </w:rPr>
              <w:t>:</w:t>
            </w:r>
          </w:p>
          <w:tbl>
            <w:tblPr>
              <w:tblW w:w="0" w:type="auto"/>
              <w:tblBorders>
                <w:top w:val="nil"/>
                <w:left w:val="nil"/>
                <w:bottom w:val="nil"/>
                <w:right w:val="nil"/>
              </w:tblBorders>
              <w:tblLook w:val="0000" w:firstRow="0" w:lastRow="0" w:firstColumn="0" w:lastColumn="0" w:noHBand="0" w:noVBand="0"/>
            </w:tblPr>
            <w:tblGrid>
              <w:gridCol w:w="2736"/>
            </w:tblGrid>
            <w:tr w:rsidR="0091046F" w:rsidRPr="008261C7" w14:paraId="73740361" w14:textId="77777777">
              <w:trPr>
                <w:trHeight w:val="524"/>
              </w:trPr>
              <w:tc>
                <w:tcPr>
                  <w:tcW w:w="0" w:type="auto"/>
                </w:tcPr>
                <w:p w14:paraId="0044B34A" w14:textId="77777777" w:rsidR="0091046F" w:rsidRPr="008261C7" w:rsidRDefault="0091046F" w:rsidP="0091046F">
                  <w:pPr>
                    <w:pStyle w:val="Default"/>
                    <w:ind w:left="-108"/>
                    <w:rPr>
                      <w:rFonts w:asciiTheme="minorHAnsi" w:hAnsiTheme="minorHAnsi"/>
                    </w:rPr>
                  </w:pPr>
                  <w:proofErr w:type="spellStart"/>
                  <w:r w:rsidRPr="008261C7">
                    <w:rPr>
                      <w:rFonts w:asciiTheme="minorHAnsi" w:hAnsiTheme="minorHAnsi"/>
                    </w:rPr>
                    <w:t>Persatine</w:t>
                  </w:r>
                  <w:proofErr w:type="spellEnd"/>
                  <w:r w:rsidRPr="008261C7">
                    <w:rPr>
                      <w:rFonts w:asciiTheme="minorHAnsi" w:hAnsiTheme="minorHAnsi"/>
                    </w:rPr>
                    <w:t xml:space="preserve"> (dipyridamole) Pletal (cilostazol) </w:t>
                  </w:r>
                </w:p>
                <w:p w14:paraId="669EC18C" w14:textId="77777777" w:rsidR="00AA704D" w:rsidRPr="008261C7" w:rsidRDefault="00AA704D" w:rsidP="0091046F">
                  <w:pPr>
                    <w:pStyle w:val="Default"/>
                    <w:ind w:left="-108"/>
                    <w:rPr>
                      <w:rFonts w:asciiTheme="minorHAnsi" w:hAnsiTheme="minorHAnsi"/>
                    </w:rPr>
                  </w:pPr>
                  <w:r w:rsidRPr="008261C7">
                    <w:rPr>
                      <w:rFonts w:asciiTheme="minorHAnsi" w:hAnsiTheme="minorHAnsi"/>
                    </w:rPr>
                    <w:t>Trental (</w:t>
                  </w:r>
                  <w:proofErr w:type="spellStart"/>
                  <w:r w:rsidRPr="008261C7">
                    <w:rPr>
                      <w:rFonts w:asciiTheme="minorHAnsi" w:hAnsiTheme="minorHAnsi"/>
                    </w:rPr>
                    <w:t>pentoxifyline</w:t>
                  </w:r>
                  <w:proofErr w:type="spellEnd"/>
                  <w:r w:rsidRPr="008261C7">
                    <w:rPr>
                      <w:rFonts w:asciiTheme="minorHAnsi" w:hAnsiTheme="minorHAnsi"/>
                    </w:rPr>
                    <w:t>)</w:t>
                  </w:r>
                </w:p>
              </w:tc>
            </w:tr>
          </w:tbl>
          <w:p w14:paraId="44B2A191" w14:textId="77777777" w:rsidR="0091046F" w:rsidRPr="008261C7" w:rsidRDefault="0091046F" w:rsidP="00DF3E29"/>
        </w:tc>
        <w:tc>
          <w:tcPr>
            <w:tcW w:w="2952" w:type="dxa"/>
          </w:tcPr>
          <w:p w14:paraId="13ECFEF0" w14:textId="77777777" w:rsidR="0038716D" w:rsidRPr="008261C7" w:rsidRDefault="0038716D" w:rsidP="00DF3E29"/>
          <w:p w14:paraId="05FCE6B4" w14:textId="77777777" w:rsidR="0047071A" w:rsidRPr="008261C7" w:rsidRDefault="0091046F" w:rsidP="00DF3E29">
            <w:r w:rsidRPr="008261C7">
              <w:t>3 days (less if urgent)</w:t>
            </w:r>
          </w:p>
        </w:tc>
        <w:tc>
          <w:tcPr>
            <w:tcW w:w="2952" w:type="dxa"/>
            <w:gridSpan w:val="2"/>
          </w:tcPr>
          <w:p w14:paraId="522B2CA1" w14:textId="77777777" w:rsidR="0038716D" w:rsidRPr="008261C7" w:rsidRDefault="0038716D" w:rsidP="00DF3E29"/>
          <w:p w14:paraId="5D5C00E4" w14:textId="77777777" w:rsidR="0047071A" w:rsidRPr="008261C7" w:rsidRDefault="0091046F" w:rsidP="00DF3E29">
            <w:r w:rsidRPr="008261C7">
              <w:t>3 days</w:t>
            </w:r>
          </w:p>
        </w:tc>
      </w:tr>
      <w:tr w:rsidR="0047071A" w:rsidRPr="008261C7" w14:paraId="037FEE82" w14:textId="77777777" w:rsidTr="0047071A">
        <w:tc>
          <w:tcPr>
            <w:tcW w:w="2952" w:type="dxa"/>
          </w:tcPr>
          <w:p w14:paraId="31594B69" w14:textId="77777777" w:rsidR="0038716D" w:rsidRPr="008261C7" w:rsidRDefault="0038716D" w:rsidP="00DF3E29">
            <w:r w:rsidRPr="008261C7">
              <w:rPr>
                <w:b/>
              </w:rPr>
              <w:t>Vitamin K antagonists</w:t>
            </w:r>
            <w:r w:rsidRPr="008261C7">
              <w:t>:</w:t>
            </w:r>
          </w:p>
          <w:p w14:paraId="49AED7D5" w14:textId="77777777" w:rsidR="0047071A" w:rsidRPr="008261C7" w:rsidRDefault="0091046F" w:rsidP="00DF3E29">
            <w:r w:rsidRPr="008261C7">
              <w:t>Coumadin</w:t>
            </w:r>
            <w:r w:rsidR="00D77FEC" w:rsidRPr="008261C7">
              <w:t>, Jantoven</w:t>
            </w:r>
            <w:r w:rsidRPr="008261C7">
              <w:t xml:space="preserve"> (warfarin)</w:t>
            </w:r>
          </w:p>
        </w:tc>
        <w:tc>
          <w:tcPr>
            <w:tcW w:w="2952" w:type="dxa"/>
          </w:tcPr>
          <w:p w14:paraId="539AD44E" w14:textId="77777777" w:rsidR="0038716D" w:rsidRPr="008261C7" w:rsidRDefault="0038716D" w:rsidP="00DF3E29"/>
          <w:p w14:paraId="75CF8A93" w14:textId="77777777" w:rsidR="0047071A" w:rsidRPr="008261C7" w:rsidRDefault="00D77FEC" w:rsidP="00DF3E29">
            <w:r w:rsidRPr="008261C7">
              <w:t>No (unless supra-therapeutic)</w:t>
            </w:r>
          </w:p>
        </w:tc>
        <w:tc>
          <w:tcPr>
            <w:tcW w:w="2952" w:type="dxa"/>
            <w:gridSpan w:val="2"/>
          </w:tcPr>
          <w:p w14:paraId="36042C3A" w14:textId="77777777" w:rsidR="0038716D" w:rsidRPr="008261C7" w:rsidRDefault="0038716D" w:rsidP="00DF3E29"/>
          <w:p w14:paraId="59218C9A" w14:textId="77777777" w:rsidR="0047071A" w:rsidRPr="008261C7" w:rsidRDefault="00D77FEC" w:rsidP="00DF3E29">
            <w:r w:rsidRPr="008261C7">
              <w:t>3-5 days to bring INR &lt; 2.0</w:t>
            </w:r>
          </w:p>
          <w:p w14:paraId="771BE07C" w14:textId="77777777" w:rsidR="00D77FEC" w:rsidRPr="008261C7" w:rsidRDefault="00D77FEC" w:rsidP="00DF3E29">
            <w:r w:rsidRPr="008261C7">
              <w:t>Should coordinate with patient’s prescribing provider as needed</w:t>
            </w:r>
          </w:p>
        </w:tc>
      </w:tr>
      <w:tr w:rsidR="0047071A" w:rsidRPr="008261C7" w14:paraId="2AB154B8" w14:textId="77777777" w:rsidTr="0047071A">
        <w:tc>
          <w:tcPr>
            <w:tcW w:w="2952" w:type="dxa"/>
          </w:tcPr>
          <w:p w14:paraId="5DEDB5A2" w14:textId="77777777" w:rsidR="0038716D" w:rsidRPr="008261C7" w:rsidRDefault="0038716D" w:rsidP="00D77FEC">
            <w:pPr>
              <w:pStyle w:val="Default"/>
              <w:rPr>
                <w:rFonts w:asciiTheme="minorHAnsi" w:hAnsiTheme="minorHAnsi"/>
              </w:rPr>
            </w:pPr>
            <w:r w:rsidRPr="008261C7">
              <w:rPr>
                <w:rFonts w:asciiTheme="minorHAnsi" w:hAnsiTheme="minorHAnsi"/>
                <w:b/>
              </w:rPr>
              <w:lastRenderedPageBreak/>
              <w:t>Heparins</w:t>
            </w:r>
            <w:r w:rsidRPr="008261C7">
              <w:rPr>
                <w:rFonts w:asciiTheme="minorHAnsi" w:hAnsiTheme="minorHAnsi"/>
              </w:rPr>
              <w:t>:</w:t>
            </w:r>
          </w:p>
          <w:p w14:paraId="035E01D7" w14:textId="77777777" w:rsidR="00D77FEC" w:rsidRPr="008261C7" w:rsidRDefault="00D77FEC" w:rsidP="00D77FEC">
            <w:pPr>
              <w:pStyle w:val="Default"/>
              <w:rPr>
                <w:rFonts w:asciiTheme="minorHAnsi" w:hAnsiTheme="minorHAnsi"/>
              </w:rPr>
            </w:pPr>
            <w:r w:rsidRPr="008261C7">
              <w:rPr>
                <w:rFonts w:asciiTheme="minorHAnsi" w:hAnsiTheme="minorHAnsi"/>
              </w:rPr>
              <w:t xml:space="preserve">Heparin IV </w:t>
            </w:r>
          </w:p>
          <w:p w14:paraId="48793D7E" w14:textId="77777777" w:rsidR="00D77FEC" w:rsidRPr="008261C7" w:rsidRDefault="00D77FEC" w:rsidP="00D77FEC">
            <w:pPr>
              <w:pStyle w:val="Default"/>
              <w:rPr>
                <w:rFonts w:asciiTheme="minorHAnsi" w:hAnsiTheme="minorHAnsi"/>
              </w:rPr>
            </w:pPr>
          </w:p>
          <w:p w14:paraId="6E38E0F0" w14:textId="77777777" w:rsidR="00D77FEC" w:rsidRPr="008261C7" w:rsidRDefault="00D77FEC" w:rsidP="00D77FEC">
            <w:pPr>
              <w:pStyle w:val="Default"/>
              <w:rPr>
                <w:rFonts w:asciiTheme="minorHAnsi" w:hAnsiTheme="minorHAnsi"/>
              </w:rPr>
            </w:pPr>
            <w:r w:rsidRPr="008261C7">
              <w:rPr>
                <w:rFonts w:asciiTheme="minorHAnsi" w:hAnsiTheme="minorHAnsi"/>
              </w:rPr>
              <w:t xml:space="preserve">Heparin sub Q </w:t>
            </w:r>
          </w:p>
          <w:p w14:paraId="171A530C" w14:textId="77777777" w:rsidR="00D77FEC" w:rsidRPr="008261C7" w:rsidRDefault="00D77FEC" w:rsidP="00D77FEC">
            <w:pPr>
              <w:pStyle w:val="Default"/>
              <w:rPr>
                <w:rFonts w:asciiTheme="minorHAnsi" w:hAnsiTheme="minorHAnsi"/>
              </w:rPr>
            </w:pPr>
          </w:p>
          <w:p w14:paraId="67F0B093" w14:textId="77777777" w:rsidR="00D77FEC" w:rsidRPr="008261C7" w:rsidRDefault="00D77FEC" w:rsidP="00D77FEC">
            <w:pPr>
              <w:pStyle w:val="Default"/>
              <w:rPr>
                <w:rFonts w:asciiTheme="minorHAnsi" w:hAnsiTheme="minorHAnsi"/>
              </w:rPr>
            </w:pPr>
            <w:r w:rsidRPr="008261C7">
              <w:rPr>
                <w:rFonts w:asciiTheme="minorHAnsi" w:hAnsiTheme="minorHAnsi"/>
                <w:bCs/>
              </w:rPr>
              <w:t>Low Molecular Weight Heparin (LMWH</w:t>
            </w:r>
            <w:proofErr w:type="gramStart"/>
            <w:r w:rsidRPr="008261C7">
              <w:rPr>
                <w:rFonts w:asciiTheme="minorHAnsi" w:hAnsiTheme="minorHAnsi"/>
                <w:bCs/>
              </w:rPr>
              <w:t>) :</w:t>
            </w:r>
            <w:proofErr w:type="gramEnd"/>
            <w:r w:rsidRPr="008261C7">
              <w:rPr>
                <w:rFonts w:asciiTheme="minorHAnsi" w:hAnsiTheme="minorHAnsi"/>
                <w:bCs/>
              </w:rPr>
              <w:t xml:space="preserve"> </w:t>
            </w:r>
          </w:p>
          <w:p w14:paraId="17B2E09B" w14:textId="77777777" w:rsidR="00D77FEC" w:rsidRPr="008261C7" w:rsidRDefault="00D77FEC" w:rsidP="00D77FEC">
            <w:pPr>
              <w:pStyle w:val="Default"/>
              <w:rPr>
                <w:rFonts w:asciiTheme="minorHAnsi" w:hAnsiTheme="minorHAnsi"/>
              </w:rPr>
            </w:pPr>
            <w:r w:rsidRPr="008261C7">
              <w:rPr>
                <w:rFonts w:asciiTheme="minorHAnsi" w:hAnsiTheme="minorHAnsi"/>
              </w:rPr>
              <w:t xml:space="preserve">(Enoxaparin, (Lovenox), Dalteparin, (Fragmin), Tinzaparin </w:t>
            </w:r>
          </w:p>
          <w:p w14:paraId="445F4EAF" w14:textId="77777777" w:rsidR="00D77FEC" w:rsidRPr="008261C7" w:rsidRDefault="00D77FEC" w:rsidP="00D77FEC">
            <w:pPr>
              <w:pStyle w:val="Default"/>
              <w:rPr>
                <w:rFonts w:asciiTheme="minorHAnsi" w:hAnsiTheme="minorHAnsi"/>
              </w:rPr>
            </w:pPr>
          </w:p>
          <w:p w14:paraId="175A6824" w14:textId="77777777" w:rsidR="0047071A" w:rsidRPr="008261C7" w:rsidRDefault="00D77FEC" w:rsidP="00D77FEC">
            <w:r w:rsidRPr="008261C7">
              <w:t xml:space="preserve">Fondaparinux (Arixtra ) </w:t>
            </w:r>
          </w:p>
        </w:tc>
        <w:tc>
          <w:tcPr>
            <w:tcW w:w="2952" w:type="dxa"/>
          </w:tcPr>
          <w:p w14:paraId="0259FB62" w14:textId="77777777" w:rsidR="0038716D" w:rsidRPr="008261C7" w:rsidRDefault="0038716D" w:rsidP="00DF3E29"/>
          <w:p w14:paraId="510D8AF5" w14:textId="506C0788" w:rsidR="0047071A" w:rsidRPr="008261C7" w:rsidRDefault="00D77FEC" w:rsidP="00DF3E29">
            <w:r w:rsidRPr="008261C7">
              <w:t>4</w:t>
            </w:r>
            <w:r w:rsidR="00E6499E">
              <w:t>-6</w:t>
            </w:r>
            <w:r w:rsidRPr="008261C7">
              <w:t xml:space="preserve"> hours</w:t>
            </w:r>
          </w:p>
          <w:p w14:paraId="0F98C73B" w14:textId="77777777" w:rsidR="00D77FEC" w:rsidRPr="008261C7" w:rsidRDefault="00D77FEC" w:rsidP="00DF3E29"/>
          <w:p w14:paraId="731FCDF7" w14:textId="77777777" w:rsidR="00D77FEC" w:rsidRPr="008261C7" w:rsidRDefault="00D77FEC" w:rsidP="00DF3E29">
            <w:r w:rsidRPr="008261C7">
              <w:t>No</w:t>
            </w:r>
          </w:p>
          <w:p w14:paraId="262D6B07" w14:textId="77777777" w:rsidR="00D77FEC" w:rsidRPr="008261C7" w:rsidRDefault="00D77FEC" w:rsidP="00DF3E29"/>
          <w:p w14:paraId="376FAD68" w14:textId="77777777" w:rsidR="00D77FEC" w:rsidRPr="008261C7" w:rsidRDefault="00D77FEC" w:rsidP="00DF3E29">
            <w:r w:rsidRPr="008261C7">
              <w:t>12 hours (less if urgent)</w:t>
            </w:r>
          </w:p>
          <w:p w14:paraId="525C3BA8" w14:textId="77777777" w:rsidR="00D77FEC" w:rsidRPr="008261C7" w:rsidRDefault="00D77FEC" w:rsidP="00DF3E29"/>
          <w:p w14:paraId="376983CF" w14:textId="77777777" w:rsidR="00D77FEC" w:rsidRPr="008261C7" w:rsidRDefault="00D77FEC" w:rsidP="00DF3E29"/>
          <w:p w14:paraId="65F265A1" w14:textId="77777777" w:rsidR="00D77FEC" w:rsidRPr="008261C7" w:rsidRDefault="00D77FEC" w:rsidP="00DF3E29"/>
          <w:p w14:paraId="1F31ABA1" w14:textId="77777777" w:rsidR="00D77FEC" w:rsidRPr="008261C7" w:rsidRDefault="00D77FEC" w:rsidP="00DF3E29"/>
          <w:p w14:paraId="4F9206AB" w14:textId="77777777" w:rsidR="00D77FEC" w:rsidRPr="008261C7" w:rsidRDefault="00D77FEC" w:rsidP="00DF3E29">
            <w:r w:rsidRPr="008261C7">
              <w:t>3 days</w:t>
            </w:r>
          </w:p>
        </w:tc>
        <w:tc>
          <w:tcPr>
            <w:tcW w:w="2952" w:type="dxa"/>
            <w:gridSpan w:val="2"/>
          </w:tcPr>
          <w:p w14:paraId="3016BD64" w14:textId="77777777" w:rsidR="0038716D" w:rsidRPr="008261C7" w:rsidRDefault="0038716D" w:rsidP="00DF3E29"/>
          <w:p w14:paraId="736C750D" w14:textId="77777777" w:rsidR="00D77FEC" w:rsidRPr="008261C7" w:rsidRDefault="00D77FEC" w:rsidP="00DF3E29">
            <w:r w:rsidRPr="008261C7">
              <w:t>4-6 hours</w:t>
            </w:r>
          </w:p>
          <w:p w14:paraId="22D357C1" w14:textId="77777777" w:rsidR="00D77FEC" w:rsidRPr="008261C7" w:rsidRDefault="00D77FEC" w:rsidP="00DF3E29"/>
          <w:p w14:paraId="20DA4D79" w14:textId="77777777" w:rsidR="00D77FEC" w:rsidRPr="008261C7" w:rsidRDefault="00D77FEC" w:rsidP="00DF3E29">
            <w:r w:rsidRPr="008261C7">
              <w:t>6-8 hours</w:t>
            </w:r>
          </w:p>
          <w:p w14:paraId="71DAE3EF" w14:textId="77777777" w:rsidR="00D77FEC" w:rsidRPr="008261C7" w:rsidRDefault="00D77FEC" w:rsidP="00DF3E29"/>
          <w:p w14:paraId="756744E0" w14:textId="77777777" w:rsidR="00D77FEC" w:rsidRPr="008261C7" w:rsidRDefault="00D77FEC" w:rsidP="00DF3E29">
            <w:r w:rsidRPr="008261C7">
              <w:t>12 hours (less if urgent)</w:t>
            </w:r>
          </w:p>
          <w:p w14:paraId="15CA4BB9" w14:textId="77777777" w:rsidR="00D77FEC" w:rsidRPr="008261C7" w:rsidRDefault="00D77FEC" w:rsidP="00DF3E29"/>
          <w:p w14:paraId="0CC7C5E9" w14:textId="77777777" w:rsidR="00D77FEC" w:rsidRPr="008261C7" w:rsidRDefault="00D77FEC" w:rsidP="00DF3E29"/>
          <w:p w14:paraId="67003CFB" w14:textId="77777777" w:rsidR="00D77FEC" w:rsidRPr="008261C7" w:rsidRDefault="00D77FEC" w:rsidP="00DF3E29"/>
          <w:p w14:paraId="0F305203" w14:textId="77777777" w:rsidR="00D77FEC" w:rsidRPr="008261C7" w:rsidRDefault="00D77FEC" w:rsidP="00DF3E29"/>
          <w:p w14:paraId="4BC6F4FC" w14:textId="77777777" w:rsidR="00D77FEC" w:rsidRPr="008261C7" w:rsidRDefault="00D77FEC" w:rsidP="00D77FEC">
            <w:r w:rsidRPr="008261C7">
              <w:t>3 days</w:t>
            </w:r>
          </w:p>
        </w:tc>
      </w:tr>
      <w:tr w:rsidR="0047071A" w:rsidRPr="008261C7" w14:paraId="56F908EC" w14:textId="77777777" w:rsidTr="0047071A">
        <w:tc>
          <w:tcPr>
            <w:tcW w:w="2952" w:type="dxa"/>
          </w:tcPr>
          <w:p w14:paraId="700BE345" w14:textId="77777777" w:rsidR="00AA704D" w:rsidRPr="008261C7" w:rsidRDefault="0038716D" w:rsidP="00DF3E29">
            <w:r w:rsidRPr="008261C7">
              <w:rPr>
                <w:b/>
              </w:rPr>
              <w:t>Direct thrombin inhibitors</w:t>
            </w:r>
            <w:r w:rsidR="00AA704D" w:rsidRPr="008261C7">
              <w:t>:</w:t>
            </w:r>
          </w:p>
          <w:p w14:paraId="131AB266" w14:textId="77777777" w:rsidR="00AA704D" w:rsidRPr="008261C7" w:rsidRDefault="00AA704D" w:rsidP="00DF3E29">
            <w:r w:rsidRPr="008261C7">
              <w:t>Pradaxa (dabigatran)</w:t>
            </w:r>
          </w:p>
          <w:p w14:paraId="023AAEED" w14:textId="77777777" w:rsidR="00AA704D" w:rsidRPr="008261C7" w:rsidRDefault="00AA704D" w:rsidP="00DF3E29"/>
          <w:p w14:paraId="20557299" w14:textId="77777777" w:rsidR="0038716D" w:rsidRPr="008261C7" w:rsidRDefault="0038716D" w:rsidP="00DF3E29"/>
          <w:p w14:paraId="091A096A" w14:textId="3A1937BD" w:rsidR="00AA704D" w:rsidRPr="008261C7" w:rsidRDefault="00E6499E" w:rsidP="00DF3E29">
            <w:r>
              <w:t>Argatroban, bivalirudin</w:t>
            </w:r>
          </w:p>
          <w:p w14:paraId="46E7E9F8" w14:textId="77777777" w:rsidR="00AA704D" w:rsidRPr="008261C7" w:rsidRDefault="00AA704D" w:rsidP="00DF3E29"/>
        </w:tc>
        <w:tc>
          <w:tcPr>
            <w:tcW w:w="2952" w:type="dxa"/>
          </w:tcPr>
          <w:p w14:paraId="4A07AD5A" w14:textId="77777777" w:rsidR="00AA704D" w:rsidRPr="008261C7" w:rsidRDefault="00AA704D" w:rsidP="00DF3E29"/>
          <w:p w14:paraId="239242DE" w14:textId="77777777" w:rsidR="0038716D" w:rsidRPr="008261C7" w:rsidRDefault="0038716D" w:rsidP="00DF3E29"/>
          <w:p w14:paraId="3D1C0B13" w14:textId="77777777" w:rsidR="0047071A" w:rsidRPr="008261C7" w:rsidRDefault="00AA704D" w:rsidP="00DF3E29">
            <w:r w:rsidRPr="008261C7">
              <w:t>No</w:t>
            </w:r>
          </w:p>
          <w:p w14:paraId="77E1BC3A" w14:textId="77777777" w:rsidR="00AA704D" w:rsidRPr="008261C7" w:rsidRDefault="00AA704D" w:rsidP="00DF3E29"/>
          <w:p w14:paraId="29FF0597" w14:textId="77777777" w:rsidR="0038716D" w:rsidRPr="008261C7" w:rsidRDefault="0038716D" w:rsidP="00DF3E29"/>
          <w:p w14:paraId="378649E6" w14:textId="77777777" w:rsidR="00AA704D" w:rsidRPr="008261C7" w:rsidRDefault="00AA704D" w:rsidP="00DF3E29">
            <w:r w:rsidRPr="008261C7">
              <w:t>4 hours</w:t>
            </w:r>
          </w:p>
        </w:tc>
        <w:tc>
          <w:tcPr>
            <w:tcW w:w="2952" w:type="dxa"/>
            <w:gridSpan w:val="2"/>
          </w:tcPr>
          <w:p w14:paraId="35CDC071" w14:textId="77777777" w:rsidR="00AA704D" w:rsidRPr="008261C7" w:rsidRDefault="00AA704D" w:rsidP="00AA704D">
            <w:r w:rsidRPr="008261C7">
              <w:t xml:space="preserve"> </w:t>
            </w:r>
          </w:p>
          <w:p w14:paraId="315C7842" w14:textId="77777777" w:rsidR="0038716D" w:rsidRPr="008261C7" w:rsidRDefault="0038716D" w:rsidP="00AA704D"/>
          <w:p w14:paraId="437E4136" w14:textId="77777777" w:rsidR="0047071A" w:rsidRPr="008261C7" w:rsidRDefault="00AA704D" w:rsidP="00AA704D">
            <w:r w:rsidRPr="008261C7">
              <w:t xml:space="preserve">2 days (4 days </w:t>
            </w:r>
            <w:proofErr w:type="gramStart"/>
            <w:r w:rsidRPr="008261C7">
              <w:t>if  EGFR</w:t>
            </w:r>
            <w:proofErr w:type="gramEnd"/>
            <w:r w:rsidRPr="008261C7">
              <w:t xml:space="preserve"> &lt; 50)</w:t>
            </w:r>
          </w:p>
          <w:p w14:paraId="5D988829" w14:textId="77777777" w:rsidR="0038716D" w:rsidRPr="008261C7" w:rsidRDefault="0038716D" w:rsidP="00AA704D"/>
          <w:p w14:paraId="3FAC7B0A" w14:textId="77777777" w:rsidR="00AA704D" w:rsidRPr="008261C7" w:rsidRDefault="00AA704D" w:rsidP="00AA704D">
            <w:r w:rsidRPr="008261C7">
              <w:t>4 hours</w:t>
            </w:r>
          </w:p>
        </w:tc>
      </w:tr>
      <w:tr w:rsidR="0047071A" w:rsidRPr="008261C7" w14:paraId="3660ACFD" w14:textId="77777777" w:rsidTr="0047071A">
        <w:tc>
          <w:tcPr>
            <w:tcW w:w="2952" w:type="dxa"/>
          </w:tcPr>
          <w:p w14:paraId="2AD81ADB" w14:textId="3A79D3A1" w:rsidR="0047071A" w:rsidRPr="008261C7" w:rsidRDefault="00AA704D" w:rsidP="00E6499E">
            <w:r w:rsidRPr="008261C7">
              <w:rPr>
                <w:b/>
              </w:rPr>
              <w:t xml:space="preserve">Factor </w:t>
            </w:r>
            <w:proofErr w:type="spellStart"/>
            <w:r w:rsidRPr="008261C7">
              <w:rPr>
                <w:b/>
              </w:rPr>
              <w:t>Xa</w:t>
            </w:r>
            <w:proofErr w:type="spellEnd"/>
            <w:r w:rsidRPr="008261C7">
              <w:rPr>
                <w:b/>
              </w:rPr>
              <w:t xml:space="preserve"> inhibitors</w:t>
            </w:r>
            <w:r w:rsidRPr="008261C7">
              <w:t>: fondaparinux (Arixtra), rivaroxaba</w:t>
            </w:r>
            <w:r w:rsidR="00E6499E">
              <w:t>n (Xarelto), apixaban (Eliquis)</w:t>
            </w:r>
          </w:p>
        </w:tc>
        <w:tc>
          <w:tcPr>
            <w:tcW w:w="2952" w:type="dxa"/>
          </w:tcPr>
          <w:p w14:paraId="3F8B0439" w14:textId="77777777" w:rsidR="0047071A" w:rsidRPr="008261C7" w:rsidRDefault="0047071A" w:rsidP="00DF3E29"/>
          <w:p w14:paraId="532DCF2E" w14:textId="77777777" w:rsidR="0038716D" w:rsidRPr="008261C7" w:rsidRDefault="0038716D" w:rsidP="00DF3E29">
            <w:r w:rsidRPr="008261C7">
              <w:t>No</w:t>
            </w:r>
          </w:p>
        </w:tc>
        <w:tc>
          <w:tcPr>
            <w:tcW w:w="2952" w:type="dxa"/>
            <w:gridSpan w:val="2"/>
          </w:tcPr>
          <w:p w14:paraId="1F71F4B3" w14:textId="77777777" w:rsidR="0047071A" w:rsidRPr="008261C7" w:rsidRDefault="0047071A" w:rsidP="00DF3E29"/>
          <w:p w14:paraId="71C53A76" w14:textId="77777777" w:rsidR="0038716D" w:rsidRPr="008261C7" w:rsidRDefault="0038716D" w:rsidP="00DF3E29">
            <w:r w:rsidRPr="008261C7">
              <w:t>3-4 days</w:t>
            </w:r>
          </w:p>
        </w:tc>
      </w:tr>
      <w:tr w:rsidR="00E6499E" w:rsidRPr="008261C7" w14:paraId="599A71C8" w14:textId="77777777" w:rsidTr="00C265B5">
        <w:tc>
          <w:tcPr>
            <w:tcW w:w="2952" w:type="dxa"/>
          </w:tcPr>
          <w:p w14:paraId="01575083" w14:textId="622C9A2A" w:rsidR="00E6499E" w:rsidRPr="008261C7" w:rsidRDefault="00E6499E" w:rsidP="00E6499E">
            <w:pPr>
              <w:rPr>
                <w:b/>
              </w:rPr>
            </w:pPr>
            <w:r w:rsidRPr="008261C7">
              <w:t>edoxaban (</w:t>
            </w:r>
            <w:proofErr w:type="spellStart"/>
            <w:r w:rsidRPr="008261C7">
              <w:t>Svaysa</w:t>
            </w:r>
            <w:proofErr w:type="spellEnd"/>
            <w:r w:rsidRPr="008261C7">
              <w:t>)</w:t>
            </w:r>
          </w:p>
        </w:tc>
        <w:tc>
          <w:tcPr>
            <w:tcW w:w="2952" w:type="dxa"/>
          </w:tcPr>
          <w:p w14:paraId="0DB85E2D" w14:textId="64233298" w:rsidR="00E6499E" w:rsidRPr="008261C7" w:rsidRDefault="00E6499E" w:rsidP="00DF3E29">
            <w:r>
              <w:t>No</w:t>
            </w:r>
          </w:p>
        </w:tc>
        <w:tc>
          <w:tcPr>
            <w:tcW w:w="1476" w:type="dxa"/>
          </w:tcPr>
          <w:p w14:paraId="0DEAB03D" w14:textId="77777777" w:rsidR="00E6499E" w:rsidRDefault="00E6499E" w:rsidP="00DF3E29">
            <w:proofErr w:type="spellStart"/>
            <w:r>
              <w:t>CrCl</w:t>
            </w:r>
            <w:proofErr w:type="spellEnd"/>
            <w:r>
              <w:t xml:space="preserve"> </w:t>
            </w:r>
            <w:r>
              <w:rPr>
                <w:rFonts w:ascii="Cambria" w:hAnsi="Cambria"/>
              </w:rPr>
              <w:t>≥</w:t>
            </w:r>
            <w:r>
              <w:t xml:space="preserve"> 50 ml/min</w:t>
            </w:r>
          </w:p>
          <w:p w14:paraId="7F77D2F2" w14:textId="77777777" w:rsidR="00E6499E" w:rsidRDefault="00E6499E" w:rsidP="00DF3E29"/>
          <w:p w14:paraId="4E59B2C9" w14:textId="32E4965C" w:rsidR="00E6499E" w:rsidRPr="008261C7" w:rsidRDefault="00E6499E" w:rsidP="00DF3E29">
            <w:r>
              <w:t>48 hours</w:t>
            </w:r>
          </w:p>
        </w:tc>
        <w:tc>
          <w:tcPr>
            <w:tcW w:w="1476" w:type="dxa"/>
          </w:tcPr>
          <w:p w14:paraId="4779F987" w14:textId="77777777" w:rsidR="00E6499E" w:rsidRDefault="00E6499E" w:rsidP="00DF3E29">
            <w:proofErr w:type="spellStart"/>
            <w:r>
              <w:t>CrCl</w:t>
            </w:r>
            <w:proofErr w:type="spellEnd"/>
            <w:r>
              <w:t xml:space="preserve"> &lt; 50 ml/min</w:t>
            </w:r>
          </w:p>
          <w:p w14:paraId="54C1125F" w14:textId="77777777" w:rsidR="00E6499E" w:rsidRDefault="00E6499E" w:rsidP="00DF3E29"/>
          <w:p w14:paraId="75019ABE" w14:textId="0669186C" w:rsidR="00E6499E" w:rsidRPr="008261C7" w:rsidRDefault="00E6499E" w:rsidP="00DF3E29">
            <w:r>
              <w:t>72 hours</w:t>
            </w:r>
          </w:p>
        </w:tc>
      </w:tr>
      <w:tr w:rsidR="0038716D" w:rsidRPr="008261C7" w14:paraId="6EB304BC" w14:textId="77777777" w:rsidTr="0038716D">
        <w:tc>
          <w:tcPr>
            <w:tcW w:w="2952" w:type="dxa"/>
          </w:tcPr>
          <w:p w14:paraId="35D943F2" w14:textId="2D669DD0" w:rsidR="0038716D" w:rsidRPr="008261C7" w:rsidRDefault="0038716D" w:rsidP="0038716D">
            <w:pPr>
              <w:pStyle w:val="Default"/>
              <w:rPr>
                <w:rFonts w:asciiTheme="minorHAnsi" w:hAnsiTheme="minorHAnsi"/>
              </w:rPr>
            </w:pPr>
            <w:proofErr w:type="spellStart"/>
            <w:r w:rsidRPr="008261C7">
              <w:rPr>
                <w:rFonts w:asciiTheme="minorHAnsi" w:hAnsiTheme="minorHAnsi"/>
                <w:b/>
                <w:bCs/>
              </w:rPr>
              <w:t>IIb</w:t>
            </w:r>
            <w:proofErr w:type="spellEnd"/>
            <w:r w:rsidRPr="008261C7">
              <w:rPr>
                <w:rFonts w:asciiTheme="minorHAnsi" w:hAnsiTheme="minorHAnsi"/>
                <w:b/>
                <w:bCs/>
              </w:rPr>
              <w:t>/IIIa antagonists</w:t>
            </w:r>
            <w:r w:rsidRPr="008261C7">
              <w:rPr>
                <w:rFonts w:asciiTheme="minorHAnsi" w:hAnsiTheme="minorHAnsi"/>
                <w:bCs/>
              </w:rPr>
              <w:t>:</w:t>
            </w:r>
          </w:p>
          <w:p w14:paraId="6B10732D" w14:textId="77777777" w:rsidR="0038716D" w:rsidRPr="008261C7" w:rsidRDefault="0038716D" w:rsidP="0038716D">
            <w:pPr>
              <w:pStyle w:val="Default"/>
              <w:rPr>
                <w:rFonts w:asciiTheme="minorHAnsi" w:hAnsiTheme="minorHAnsi"/>
              </w:rPr>
            </w:pPr>
            <w:r w:rsidRPr="008261C7">
              <w:rPr>
                <w:rFonts w:asciiTheme="minorHAnsi" w:hAnsiTheme="minorHAnsi"/>
              </w:rPr>
              <w:t xml:space="preserve">Aggrastat (Tirofiban) </w:t>
            </w:r>
          </w:p>
          <w:p w14:paraId="711F8480" w14:textId="77777777" w:rsidR="0038716D" w:rsidRPr="008261C7" w:rsidRDefault="0038716D" w:rsidP="0038716D">
            <w:pPr>
              <w:pStyle w:val="Default"/>
              <w:rPr>
                <w:rFonts w:asciiTheme="minorHAnsi" w:hAnsiTheme="minorHAnsi"/>
              </w:rPr>
            </w:pPr>
            <w:r w:rsidRPr="008261C7">
              <w:rPr>
                <w:rFonts w:asciiTheme="minorHAnsi" w:hAnsiTheme="minorHAnsi"/>
              </w:rPr>
              <w:t>Abciximab (</w:t>
            </w:r>
            <w:proofErr w:type="spellStart"/>
            <w:r w:rsidRPr="008261C7">
              <w:rPr>
                <w:rFonts w:asciiTheme="minorHAnsi" w:hAnsiTheme="minorHAnsi"/>
              </w:rPr>
              <w:t>Reopro</w:t>
            </w:r>
            <w:proofErr w:type="spellEnd"/>
            <w:r w:rsidRPr="008261C7">
              <w:rPr>
                <w:rFonts w:asciiTheme="minorHAnsi" w:hAnsiTheme="minorHAnsi"/>
              </w:rPr>
              <w:t xml:space="preserve">) </w:t>
            </w:r>
          </w:p>
          <w:p w14:paraId="612B05C7" w14:textId="77777777" w:rsidR="0038716D" w:rsidRPr="008261C7" w:rsidRDefault="0038716D" w:rsidP="0038716D">
            <w:pPr>
              <w:pStyle w:val="Default"/>
              <w:rPr>
                <w:rFonts w:asciiTheme="minorHAnsi" w:hAnsiTheme="minorHAnsi"/>
              </w:rPr>
            </w:pPr>
            <w:r w:rsidRPr="008261C7">
              <w:rPr>
                <w:rFonts w:asciiTheme="minorHAnsi" w:hAnsiTheme="minorHAnsi"/>
              </w:rPr>
              <w:t>Eptifibatide (</w:t>
            </w:r>
            <w:proofErr w:type="spellStart"/>
            <w:r w:rsidRPr="008261C7">
              <w:rPr>
                <w:rFonts w:asciiTheme="minorHAnsi" w:hAnsiTheme="minorHAnsi"/>
              </w:rPr>
              <w:t>Integrelin</w:t>
            </w:r>
            <w:proofErr w:type="spellEnd"/>
            <w:r w:rsidRPr="008261C7">
              <w:rPr>
                <w:rFonts w:asciiTheme="minorHAnsi" w:hAnsiTheme="minorHAnsi"/>
              </w:rPr>
              <w:t xml:space="preserve">) </w:t>
            </w:r>
          </w:p>
          <w:p w14:paraId="4A89970F" w14:textId="77777777" w:rsidR="0038716D" w:rsidRPr="008261C7" w:rsidRDefault="0038716D" w:rsidP="0038716D">
            <w:r w:rsidRPr="008261C7">
              <w:t xml:space="preserve">Lamifiban </w:t>
            </w:r>
          </w:p>
        </w:tc>
        <w:tc>
          <w:tcPr>
            <w:tcW w:w="5904" w:type="dxa"/>
            <w:gridSpan w:val="3"/>
          </w:tcPr>
          <w:p w14:paraId="1B74E647" w14:textId="77777777" w:rsidR="0038716D" w:rsidRPr="008261C7" w:rsidRDefault="0038716D" w:rsidP="0038716D">
            <w:r w:rsidRPr="008261C7">
              <w:t xml:space="preserve">These medications are generally utilized acutely for coronary interventions and thus, are generally IMC/ICU patients.  Any alteration should be coordinated and discussed with the care team. </w:t>
            </w:r>
          </w:p>
        </w:tc>
      </w:tr>
      <w:tr w:rsidR="008213D8" w:rsidRPr="008261C7" w14:paraId="619D46FE" w14:textId="77777777" w:rsidTr="008213D8">
        <w:tc>
          <w:tcPr>
            <w:tcW w:w="2952" w:type="dxa"/>
          </w:tcPr>
          <w:p w14:paraId="64C9A36B" w14:textId="77777777" w:rsidR="008213D8" w:rsidRPr="008261C7" w:rsidRDefault="008213D8" w:rsidP="0038716D">
            <w:pPr>
              <w:pStyle w:val="Default"/>
              <w:rPr>
                <w:rFonts w:asciiTheme="minorHAnsi" w:hAnsiTheme="minorHAnsi"/>
                <w:b/>
                <w:bCs/>
              </w:rPr>
            </w:pPr>
            <w:r w:rsidRPr="008261C7">
              <w:rPr>
                <w:rFonts w:asciiTheme="minorHAnsi" w:hAnsiTheme="minorHAnsi"/>
                <w:b/>
                <w:bCs/>
              </w:rPr>
              <w:t>Platelet aggregation inhibitor:</w:t>
            </w:r>
          </w:p>
          <w:p w14:paraId="268F3B48" w14:textId="77777777" w:rsidR="008213D8" w:rsidRPr="008261C7" w:rsidRDefault="008213D8" w:rsidP="0038716D">
            <w:pPr>
              <w:pStyle w:val="Default"/>
              <w:rPr>
                <w:rFonts w:asciiTheme="minorHAnsi" w:hAnsiTheme="minorHAnsi"/>
                <w:bCs/>
              </w:rPr>
            </w:pPr>
            <w:r w:rsidRPr="008261C7">
              <w:rPr>
                <w:rFonts w:asciiTheme="minorHAnsi" w:hAnsiTheme="minorHAnsi"/>
                <w:bCs/>
              </w:rPr>
              <w:t>Ticlid (ticlopidine)</w:t>
            </w:r>
          </w:p>
        </w:tc>
        <w:tc>
          <w:tcPr>
            <w:tcW w:w="2952" w:type="dxa"/>
          </w:tcPr>
          <w:p w14:paraId="5FE1F2D9" w14:textId="77777777" w:rsidR="008213D8" w:rsidRPr="008261C7" w:rsidRDefault="008213D8" w:rsidP="0038716D">
            <w:r w:rsidRPr="008261C7">
              <w:t>10 days (less if urgent)</w:t>
            </w:r>
          </w:p>
        </w:tc>
        <w:tc>
          <w:tcPr>
            <w:tcW w:w="2952" w:type="dxa"/>
            <w:gridSpan w:val="2"/>
          </w:tcPr>
          <w:p w14:paraId="7A2E69C9" w14:textId="77777777" w:rsidR="008213D8" w:rsidRPr="008261C7" w:rsidRDefault="008213D8" w:rsidP="0038716D">
            <w:r w:rsidRPr="008261C7">
              <w:t>10 days</w:t>
            </w:r>
          </w:p>
        </w:tc>
      </w:tr>
      <w:tr w:rsidR="008213D8" w:rsidRPr="008261C7" w14:paraId="0893A551" w14:textId="77777777" w:rsidTr="008213D8">
        <w:tc>
          <w:tcPr>
            <w:tcW w:w="2952" w:type="dxa"/>
          </w:tcPr>
          <w:p w14:paraId="69B96B97" w14:textId="77777777" w:rsidR="008213D8" w:rsidRPr="008261C7" w:rsidRDefault="008213D8" w:rsidP="0038716D">
            <w:pPr>
              <w:pStyle w:val="Default"/>
              <w:rPr>
                <w:rFonts w:asciiTheme="minorHAnsi" w:hAnsiTheme="minorHAnsi"/>
                <w:bCs/>
              </w:rPr>
            </w:pPr>
            <w:r w:rsidRPr="008261C7">
              <w:rPr>
                <w:rFonts w:asciiTheme="minorHAnsi" w:hAnsiTheme="minorHAnsi"/>
                <w:b/>
                <w:bCs/>
              </w:rPr>
              <w:t>Thrombin receptor inhibitors</w:t>
            </w:r>
            <w:r w:rsidRPr="008261C7">
              <w:rPr>
                <w:rFonts w:asciiTheme="minorHAnsi" w:hAnsiTheme="minorHAnsi"/>
                <w:bCs/>
              </w:rPr>
              <w:t>:</w:t>
            </w:r>
          </w:p>
          <w:p w14:paraId="09618096" w14:textId="77777777" w:rsidR="008213D8" w:rsidRPr="008261C7" w:rsidRDefault="008213D8" w:rsidP="0038716D">
            <w:pPr>
              <w:pStyle w:val="Default"/>
              <w:rPr>
                <w:rFonts w:asciiTheme="minorHAnsi" w:hAnsiTheme="minorHAnsi"/>
                <w:bCs/>
              </w:rPr>
            </w:pPr>
            <w:r w:rsidRPr="008261C7">
              <w:rPr>
                <w:rFonts w:asciiTheme="minorHAnsi" w:hAnsiTheme="minorHAnsi"/>
                <w:bCs/>
              </w:rPr>
              <w:t>Vorapaxar (Zontivity)</w:t>
            </w:r>
          </w:p>
        </w:tc>
        <w:tc>
          <w:tcPr>
            <w:tcW w:w="2952" w:type="dxa"/>
          </w:tcPr>
          <w:p w14:paraId="7C8EB036" w14:textId="77777777" w:rsidR="008213D8" w:rsidRPr="008261C7" w:rsidRDefault="008213D8" w:rsidP="0038716D">
            <w:r w:rsidRPr="008261C7">
              <w:t>6 weeks (less if urgent)</w:t>
            </w:r>
          </w:p>
        </w:tc>
        <w:tc>
          <w:tcPr>
            <w:tcW w:w="2952" w:type="dxa"/>
            <w:gridSpan w:val="2"/>
          </w:tcPr>
          <w:p w14:paraId="090B10E4" w14:textId="77777777" w:rsidR="008213D8" w:rsidRPr="008261C7" w:rsidRDefault="008213D8" w:rsidP="0038716D">
            <w:r w:rsidRPr="008261C7">
              <w:t>6 weeks</w:t>
            </w:r>
          </w:p>
        </w:tc>
      </w:tr>
    </w:tbl>
    <w:p w14:paraId="2339C787" w14:textId="77777777" w:rsidR="00A072BE" w:rsidRPr="008261C7" w:rsidRDefault="00A072BE" w:rsidP="00A072BE">
      <w:r w:rsidRPr="008261C7">
        <w:t>Please see the below</w:t>
      </w:r>
      <w:r w:rsidR="008213D8" w:rsidRPr="008261C7">
        <w:t xml:space="preserve"> reference for any further information on any of these medications and realize that these medications are constantly evolving and individual cases may need to be </w:t>
      </w:r>
      <w:r w:rsidRPr="008261C7">
        <w:t xml:space="preserve">managed on a case-by-case basis. </w:t>
      </w:r>
      <w:r w:rsidR="008261C7" w:rsidRPr="008261C7">
        <w:t xml:space="preserve"> Reversal agents are available for some of these medications and elucidated in the below reference, but should be reserved for emergent situations and only given in consultation with the referring team.</w:t>
      </w:r>
      <w:r w:rsidRPr="008261C7">
        <w:t xml:space="preserve"> </w:t>
      </w:r>
    </w:p>
    <w:p w14:paraId="7AA85B3C" w14:textId="77777777" w:rsidR="00A072BE" w:rsidRPr="008261C7" w:rsidRDefault="00A072BE" w:rsidP="00A072BE"/>
    <w:p w14:paraId="27C0FACB" w14:textId="77777777" w:rsidR="00DF3E29" w:rsidRPr="008261C7" w:rsidRDefault="008213D8" w:rsidP="00A072BE">
      <w:pPr>
        <w:rPr>
          <w:rFonts w:eastAsia="Times New Roman" w:cs="Times New Roman"/>
        </w:rPr>
      </w:pPr>
      <w:r w:rsidRPr="008261C7">
        <w:rPr>
          <w:rFonts w:eastAsia="Times New Roman" w:cs="Times New Roman"/>
        </w:rPr>
        <w:lastRenderedPageBreak/>
        <w:t xml:space="preserve">Atwell, T. D., </w:t>
      </w:r>
      <w:proofErr w:type="spellStart"/>
      <w:r w:rsidRPr="008261C7">
        <w:rPr>
          <w:rFonts w:eastAsia="Times New Roman" w:cs="Times New Roman"/>
        </w:rPr>
        <w:t>Wennberg</w:t>
      </w:r>
      <w:proofErr w:type="spellEnd"/>
      <w:r w:rsidRPr="008261C7">
        <w:rPr>
          <w:rFonts w:eastAsia="Times New Roman" w:cs="Times New Roman"/>
        </w:rPr>
        <w:t xml:space="preserve">, P. W., </w:t>
      </w:r>
      <w:proofErr w:type="spellStart"/>
      <w:r w:rsidRPr="008261C7">
        <w:rPr>
          <w:rFonts w:eastAsia="Times New Roman" w:cs="Times New Roman"/>
        </w:rPr>
        <w:t>McMenomy</w:t>
      </w:r>
      <w:proofErr w:type="spellEnd"/>
      <w:r w:rsidRPr="008261C7">
        <w:rPr>
          <w:rFonts w:eastAsia="Times New Roman" w:cs="Times New Roman"/>
        </w:rPr>
        <w:t xml:space="preserve">, B. P., Murthy, N. S., Anderson, J. R., </w:t>
      </w:r>
      <w:proofErr w:type="spellStart"/>
      <w:r w:rsidRPr="008261C7">
        <w:rPr>
          <w:rFonts w:eastAsia="Times New Roman" w:cs="Times New Roman"/>
        </w:rPr>
        <w:t>Kriegshauser</w:t>
      </w:r>
      <w:proofErr w:type="spellEnd"/>
      <w:r w:rsidRPr="008261C7">
        <w:rPr>
          <w:rFonts w:eastAsia="Times New Roman" w:cs="Times New Roman"/>
        </w:rPr>
        <w:t xml:space="preserve">, J. S., &amp; McKinney, J. M. (2017). Peri-procedural use of anticoagulants in radiology: an evidence-based review. </w:t>
      </w:r>
      <w:r w:rsidRPr="008261C7">
        <w:rPr>
          <w:rStyle w:val="Emphasis"/>
          <w:rFonts w:eastAsia="Times New Roman" w:cs="Times New Roman"/>
        </w:rPr>
        <w:t>Abdominal Radiology</w:t>
      </w:r>
      <w:r w:rsidRPr="008261C7">
        <w:rPr>
          <w:rFonts w:eastAsia="Times New Roman" w:cs="Times New Roman"/>
        </w:rPr>
        <w:t>, 1-10. DOI: 10.1007/s00261-016-1027-x</w:t>
      </w:r>
    </w:p>
    <w:p w14:paraId="31620A19" w14:textId="77777777" w:rsidR="00A072BE" w:rsidRPr="008261C7" w:rsidRDefault="00A072BE" w:rsidP="00A072BE">
      <w:pPr>
        <w:rPr>
          <w:rFonts w:eastAsia="Times New Roman" w:cs="Times New Roman"/>
        </w:rPr>
      </w:pPr>
    </w:p>
    <w:p w14:paraId="192A3E72" w14:textId="77777777" w:rsidR="003328AB" w:rsidRDefault="003328AB" w:rsidP="00A072BE">
      <w:pPr>
        <w:rPr>
          <w:rFonts w:eastAsia="Times New Roman" w:cs="Times New Roman"/>
          <w:b/>
        </w:rPr>
      </w:pPr>
      <w:r>
        <w:rPr>
          <w:rFonts w:eastAsia="Times New Roman" w:cs="Times New Roman"/>
          <w:b/>
        </w:rPr>
        <w:t>Restarting anticoagulants after a procedure:</w:t>
      </w:r>
    </w:p>
    <w:p w14:paraId="04AA5B55" w14:textId="77777777" w:rsidR="00A072BE" w:rsidRDefault="00A072BE" w:rsidP="00A072BE">
      <w:pPr>
        <w:rPr>
          <w:rFonts w:eastAsia="Times New Roman" w:cs="Times New Roman"/>
        </w:rPr>
      </w:pPr>
      <w:r w:rsidRPr="008261C7">
        <w:rPr>
          <w:rFonts w:eastAsia="Times New Roman" w:cs="Times New Roman"/>
        </w:rPr>
        <w:t>There are no exact guidelines on when it is safe to restart anticoagulants after a procedure, but in general, one should wait a minimum of 12 hours and preferably at least 24 hours.  This may require discussion with the referring physician.</w:t>
      </w:r>
    </w:p>
    <w:p w14:paraId="167E7D09" w14:textId="77777777" w:rsidR="00DD66E1" w:rsidRDefault="00DD66E1" w:rsidP="00A072BE">
      <w:pPr>
        <w:rPr>
          <w:rFonts w:eastAsia="Times New Roman" w:cs="Times New Roman"/>
        </w:rPr>
      </w:pPr>
    </w:p>
    <w:p w14:paraId="0D8F7BBE" w14:textId="77777777" w:rsidR="003328AB" w:rsidRDefault="003328AB" w:rsidP="00A072BE">
      <w:pPr>
        <w:rPr>
          <w:rFonts w:eastAsia="Times New Roman" w:cs="Times New Roman"/>
          <w:b/>
        </w:rPr>
      </w:pPr>
      <w:r>
        <w:rPr>
          <w:rFonts w:eastAsia="Times New Roman" w:cs="Times New Roman"/>
          <w:b/>
        </w:rPr>
        <w:t>Other medications:</w:t>
      </w:r>
    </w:p>
    <w:p w14:paraId="548AE7B6" w14:textId="77777777" w:rsidR="00DD66E1" w:rsidRPr="008261C7" w:rsidRDefault="00DD66E1" w:rsidP="00A072BE">
      <w:pPr>
        <w:rPr>
          <w:rFonts w:eastAsia="Times New Roman" w:cs="Times New Roman"/>
        </w:rPr>
      </w:pPr>
      <w:r>
        <w:rPr>
          <w:rFonts w:eastAsia="Times New Roman" w:cs="Times New Roman"/>
        </w:rPr>
        <w:t xml:space="preserve">There are numerous other medications that can impact </w:t>
      </w:r>
      <w:r w:rsidR="003328AB">
        <w:rPr>
          <w:rFonts w:eastAsia="Times New Roman" w:cs="Times New Roman"/>
        </w:rPr>
        <w:t xml:space="preserve">bleeding risk.  In our patient population, the most pertinent are chemotherapeutic drugs (e.g. EGFR inhibitors like Avastin), antibiotics like sulfonamides, and H2 blockers like Pepcid.  However, most of these have minimal effect and should not be an indication to alter procedural planning. </w:t>
      </w:r>
    </w:p>
    <w:p w14:paraId="6FE81A17" w14:textId="77777777" w:rsidR="008261C7" w:rsidRPr="008261C7" w:rsidRDefault="008261C7" w:rsidP="00A072BE">
      <w:pPr>
        <w:rPr>
          <w:rFonts w:eastAsia="Times New Roman" w:cs="Times New Roman"/>
        </w:rPr>
      </w:pPr>
    </w:p>
    <w:p w14:paraId="363DD08E" w14:textId="77777777" w:rsidR="008261C7" w:rsidRPr="008261C7" w:rsidRDefault="008261C7" w:rsidP="00A072BE">
      <w:pPr>
        <w:rPr>
          <w:rFonts w:eastAsia="Times New Roman" w:cs="Times New Roman"/>
        </w:rPr>
      </w:pPr>
      <w:r w:rsidRPr="00DD66E1">
        <w:rPr>
          <w:rFonts w:eastAsia="Times New Roman" w:cs="Times New Roman"/>
          <w:b/>
          <w:u w:val="single"/>
        </w:rPr>
        <w:t>Special considerations</w:t>
      </w:r>
    </w:p>
    <w:p w14:paraId="7C769626" w14:textId="77777777" w:rsidR="008261C7" w:rsidRPr="008261C7" w:rsidRDefault="008261C7" w:rsidP="008261C7">
      <w:pPr>
        <w:pStyle w:val="Default"/>
        <w:rPr>
          <w:rFonts w:asciiTheme="minorHAnsi" w:hAnsiTheme="minorHAnsi"/>
        </w:rPr>
      </w:pPr>
      <w:r>
        <w:rPr>
          <w:rFonts w:asciiTheme="minorHAnsi" w:hAnsiTheme="minorHAnsi"/>
          <w:bCs/>
        </w:rPr>
        <w:t>-  Do not s</w:t>
      </w:r>
      <w:r w:rsidRPr="008261C7">
        <w:rPr>
          <w:rFonts w:asciiTheme="minorHAnsi" w:hAnsiTheme="minorHAnsi"/>
        </w:rPr>
        <w:t xml:space="preserve">top heparin, aspirin, </w:t>
      </w:r>
      <w:proofErr w:type="spellStart"/>
      <w:r w:rsidRPr="008261C7">
        <w:rPr>
          <w:rFonts w:asciiTheme="minorHAnsi" w:hAnsiTheme="minorHAnsi"/>
        </w:rPr>
        <w:t>plavix</w:t>
      </w:r>
      <w:proofErr w:type="spellEnd"/>
      <w:r w:rsidRPr="008261C7">
        <w:rPr>
          <w:rFonts w:asciiTheme="minorHAnsi" w:hAnsiTheme="minorHAnsi"/>
        </w:rPr>
        <w:t xml:space="preserve"> or any other anticoagulant drug on a Neuroendovascular patie</w:t>
      </w:r>
      <w:r w:rsidR="00DD66E1">
        <w:rPr>
          <w:rFonts w:asciiTheme="minorHAnsi" w:hAnsiTheme="minorHAnsi"/>
        </w:rPr>
        <w:t>nt for any procedure, either inpatient, or out</w:t>
      </w:r>
      <w:r w:rsidRPr="008261C7">
        <w:rPr>
          <w:rFonts w:asciiTheme="minorHAnsi" w:hAnsiTheme="minorHAnsi"/>
        </w:rPr>
        <w:t xml:space="preserve">patient, without </w:t>
      </w:r>
      <w:r w:rsidR="00DD66E1">
        <w:rPr>
          <w:rFonts w:asciiTheme="minorHAnsi" w:hAnsiTheme="minorHAnsi"/>
        </w:rPr>
        <w:t>first consulting</w:t>
      </w:r>
      <w:r w:rsidRPr="008261C7">
        <w:rPr>
          <w:rFonts w:asciiTheme="minorHAnsi" w:hAnsiTheme="minorHAnsi"/>
        </w:rPr>
        <w:t xml:space="preserve"> with the Neuroendovascular attend</w:t>
      </w:r>
      <w:r w:rsidR="00DD66E1">
        <w:rPr>
          <w:rFonts w:asciiTheme="minorHAnsi" w:hAnsiTheme="minorHAnsi"/>
        </w:rPr>
        <w:t>ing</w:t>
      </w:r>
      <w:r w:rsidRPr="008261C7">
        <w:rPr>
          <w:rFonts w:asciiTheme="minorHAnsi" w:hAnsiTheme="minorHAnsi"/>
        </w:rPr>
        <w:t xml:space="preserve">. </w:t>
      </w:r>
    </w:p>
    <w:p w14:paraId="6C6B2357" w14:textId="77777777" w:rsidR="008261C7" w:rsidRDefault="008261C7" w:rsidP="008261C7">
      <w:pPr>
        <w:pStyle w:val="Default"/>
        <w:rPr>
          <w:rFonts w:asciiTheme="minorHAnsi" w:hAnsiTheme="minorHAnsi"/>
        </w:rPr>
      </w:pPr>
      <w:r>
        <w:rPr>
          <w:rFonts w:asciiTheme="minorHAnsi" w:hAnsiTheme="minorHAnsi"/>
        </w:rPr>
        <w:t xml:space="preserve">-  </w:t>
      </w:r>
      <w:r w:rsidRPr="008261C7">
        <w:rPr>
          <w:rFonts w:asciiTheme="minorHAnsi" w:hAnsiTheme="minorHAnsi"/>
        </w:rPr>
        <w:t>Please consult with the attending radiologist for any patient on anticoagulation that can’t be held according to the guidelines prior to scheduling the procedure.</w:t>
      </w:r>
    </w:p>
    <w:p w14:paraId="6537C467" w14:textId="77777777" w:rsidR="008261C7" w:rsidRPr="008261C7" w:rsidRDefault="008261C7" w:rsidP="008261C7">
      <w:pPr>
        <w:pStyle w:val="Default"/>
        <w:rPr>
          <w:rFonts w:asciiTheme="minorHAnsi" w:hAnsiTheme="minorHAnsi"/>
        </w:rPr>
      </w:pPr>
      <w:r>
        <w:rPr>
          <w:rFonts w:asciiTheme="minorHAnsi" w:hAnsiTheme="minorHAnsi"/>
        </w:rPr>
        <w:t>-  Note that patients who have renal insufficiency, or are on dialysis are at increased risk of bleeding.  Depending on other factors, may consider DDAVP in these patients in consultation with the referring provider.</w:t>
      </w:r>
    </w:p>
    <w:p w14:paraId="277690BD" w14:textId="77777777" w:rsidR="008261C7" w:rsidRDefault="008261C7" w:rsidP="00A072BE">
      <w:pPr>
        <w:rPr>
          <w:rFonts w:eastAsia="Times New Roman" w:cs="Times New Roman"/>
        </w:rPr>
      </w:pPr>
      <w:r>
        <w:rPr>
          <w:rFonts w:eastAsia="Times New Roman" w:cs="Times New Roman"/>
        </w:rPr>
        <w:t xml:space="preserve">-  In general, patients with </w:t>
      </w:r>
      <w:r w:rsidR="00DD66E1">
        <w:rPr>
          <w:rFonts w:eastAsia="Times New Roman" w:cs="Times New Roman"/>
        </w:rPr>
        <w:t>cirrhosis and chronic liver disease have balanced coagulation and anticoagulation factors that result in a lower bleeding risk than would be suspected based upon the INR and platelets.  These patients do not require correction of abnormal lab values.  Acute liver failure is different and these patients do often require correction of abnormal lab values.</w:t>
      </w:r>
    </w:p>
    <w:p w14:paraId="0A9B7D07" w14:textId="77777777" w:rsidR="00DD66E1" w:rsidRDefault="00DD66E1" w:rsidP="00A072BE">
      <w:pPr>
        <w:rPr>
          <w:rFonts w:eastAsia="Times New Roman" w:cs="Times New Roman"/>
        </w:rPr>
      </w:pPr>
    </w:p>
    <w:p w14:paraId="0A182B45" w14:textId="77777777" w:rsidR="008261C7" w:rsidRPr="00DF3E29" w:rsidRDefault="008261C7" w:rsidP="00A072BE"/>
    <w:sectPr w:rsidR="008261C7" w:rsidRPr="00DF3E29" w:rsidSect="00490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21"/>
    <w:multiLevelType w:val="hybridMultilevel"/>
    <w:tmpl w:val="0CEC1620"/>
    <w:lvl w:ilvl="0" w:tplc="71343DCC">
      <w:start w:val="6"/>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03444"/>
    <w:multiLevelType w:val="hybridMultilevel"/>
    <w:tmpl w:val="2C9241A8"/>
    <w:lvl w:ilvl="0" w:tplc="C4A2086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D62"/>
    <w:multiLevelType w:val="hybridMultilevel"/>
    <w:tmpl w:val="496E6DE2"/>
    <w:lvl w:ilvl="0" w:tplc="293E893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29"/>
    <w:rsid w:val="003328AB"/>
    <w:rsid w:val="0038716D"/>
    <w:rsid w:val="0047071A"/>
    <w:rsid w:val="00490CF8"/>
    <w:rsid w:val="008213D8"/>
    <w:rsid w:val="008261C7"/>
    <w:rsid w:val="00866E2C"/>
    <w:rsid w:val="0091046F"/>
    <w:rsid w:val="00A072BE"/>
    <w:rsid w:val="00AA704D"/>
    <w:rsid w:val="00D051BD"/>
    <w:rsid w:val="00D77FEC"/>
    <w:rsid w:val="00DD66E1"/>
    <w:rsid w:val="00DF3E29"/>
    <w:rsid w:val="00E6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0DB85"/>
  <w14:defaultImageDpi w14:val="300"/>
  <w15:docId w15:val="{05141135-02BF-4334-8665-018ADD86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29"/>
    <w:pPr>
      <w:ind w:left="720"/>
      <w:contextualSpacing/>
    </w:pPr>
  </w:style>
  <w:style w:type="table" w:styleId="TableGrid">
    <w:name w:val="Table Grid"/>
    <w:basedOn w:val="TableNormal"/>
    <w:uiPriority w:val="59"/>
    <w:rsid w:val="00D0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46F"/>
    <w:pPr>
      <w:widowControl w:val="0"/>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821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Hinshaw</dc:creator>
  <cp:keywords/>
  <dc:description/>
  <cp:lastModifiedBy>AC-SWR-CS-F2322-B</cp:lastModifiedBy>
  <cp:revision>2</cp:revision>
  <dcterms:created xsi:type="dcterms:W3CDTF">2018-09-18T19:24:00Z</dcterms:created>
  <dcterms:modified xsi:type="dcterms:W3CDTF">2018-09-18T19:24:00Z</dcterms:modified>
</cp:coreProperties>
</file>